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i w:val="1"/>
        </w:rPr>
      </w:pPr>
      <w:r w:rsidDel="00000000" w:rsidR="00000000" w:rsidRPr="00000000">
        <w:rPr>
          <w:i w:val="1"/>
        </w:rPr>
        <w:drawing>
          <wp:inline distB="0" distT="0" distL="0" distR="0">
            <wp:extent cx="903684" cy="4714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14814" l="13157" r="11184" t="11111"/>
                    <a:stretch>
                      <a:fillRect/>
                    </a:stretch>
                  </pic:blipFill>
                  <pic:spPr>
                    <a:xfrm>
                      <a:off x="0" y="0"/>
                      <a:ext cx="903684" cy="4714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OPLEIDINGSPLAN Accountant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Cursist(e)/Stagiair(e):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Bedrijf: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Contractnummer: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Contactpersoon: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Indicatieve duurtijd:       weken</w:t>
            </w:r>
          </w:p>
        </w:tc>
      </w:tr>
    </w:tbl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Beroep: Accountant</w:t>
        <w:tab/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rtl w:val="0"/>
        </w:rPr>
        <w:t xml:space="preserve">Omschrijving: </w:t>
      </w:r>
      <w:r w:rsidDel="00000000" w:rsidR="00000000" w:rsidRPr="00000000">
        <w:rPr>
          <w:b w:val="1"/>
          <w:rtl w:val="0"/>
        </w:rPr>
        <w:t xml:space="preserve">Je doet de administratie en boekhouding van je klanten. Je communiceert over cijfers en werkt volgens de geldende wetgeving en deontologische regels.</w:t>
        <w:br w:type="textWrapping"/>
      </w:r>
      <w:r w:rsidDel="00000000" w:rsidR="00000000" w:rsidRPr="00000000">
        <w:rPr>
          <w:b w:val="1"/>
          <w:rtl w:val="0"/>
        </w:rPr>
        <w:tab/>
        <w:tab/>
      </w:r>
      <w:r w:rsidDel="00000000" w:rsidR="00000000" w:rsidRPr="00000000">
        <w:rPr>
          <w:rtl w:val="0"/>
        </w:rPr>
        <w:tab/>
        <w:t xml:space="preserve">       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vaardigheden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De parameters in een boekhoudpakket actualiseren en optimaliseren</w:t>
        <w:br w:type="textWrapping"/>
        <w:t xml:space="preserve">De oprichting van een onderneming begeleiden</w:t>
        <w:br w:type="textWrapping"/>
        <w:t xml:space="preserve">De boekhouding voeren voor derden</w:t>
        <w:br w:type="textWrapping"/>
        <w:t xml:space="preserve">De enkelvoudige en geconsolideerde jaarrekening opstellen</w:t>
        <w:br w:type="textWrapping"/>
        <w:t xml:space="preserve">Boekhoudkundige controles uitvoeren</w:t>
        <w:br w:type="textWrapping"/>
        <w:t xml:space="preserve">De regelmatigheid van de jaarrekening controleren</w:t>
        <w:br w:type="textWrapping"/>
        <w:t xml:space="preserve">De boekhoudkundige dienst adviseren en ondersteunen</w:t>
        <w:br w:type="textWrapping"/>
        <w:t xml:space="preserve">Diensten leveren rond sociale wetgeving</w:t>
        <w:br w:type="textWrapping"/>
        <w:t xml:space="preserve">Ondersteunen bij de overdracht of stopzetting van een onderneming</w:t>
        <w:br w:type="textWrapping"/>
        <w:t xml:space="preserve">Financiële rapporten opstellen</w:t>
        <w:br w:type="textWrapping"/>
        <w:t xml:space="preserve">Beheersmandaten uitvoeren</w:t>
        <w:br w:type="textWrapping"/>
        <w:t xml:space="preserve">Belastingplichtigen bijstaan bij fiscale verplichtingen</w:t>
        <w:br w:type="textWrapping"/>
        <w:t xml:space="preserve">Adviseren over fiscaliteit</w:t>
        <w:br w:type="textWrapping"/>
        <w:t xml:space="preserve">De belastingplichtige vertegenwoordigen</w:t>
        <w:br w:type="textWrapping"/>
        <w:t xml:space="preserve">Extern communiceren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Een team coördineren</w:t>
        <w:br w:type="textWrapping"/>
        <w:t xml:space="preserve">Een klantenacceptatiebeleid voeren</w:t>
        <w:br w:type="textWrapping"/>
        <w:t xml:space="preserve">De werking van het eigen kantoor organiseren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kennis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Software voor accountancy</w:t>
        <w:br w:type="textWrapping"/>
        <w:t xml:space="preserve">Boekhoudkundig beheer</w:t>
        <w:br w:type="textWrapping"/>
        <w:t xml:space="preserve">Algemene boekhouding</w:t>
        <w:br w:type="textWrapping"/>
        <w:t xml:space="preserve">Financieel beheer</w:t>
        <w:br w:type="textWrapping"/>
        <w:t xml:space="preserve">Vennootschapsrecht</w:t>
        <w:br w:type="textWrapping"/>
        <w:t xml:space="preserve">Financiële analyse</w:t>
        <w:br w:type="textWrapping"/>
        <w:t xml:space="preserve">Analytische boekhouding</w:t>
        <w:br w:type="textWrapping"/>
        <w:t xml:space="preserve">Financiële risicoanalyse</w:t>
        <w:br w:type="textWrapping"/>
        <w:t xml:space="preserve">Verenigingsrecht</w:t>
        <w:br w:type="textWrapping"/>
        <w:t xml:space="preserve">Management accounting</w:t>
        <w:br w:type="textWrapping"/>
        <w:t xml:space="preserve">International Financial Reporting Standards (IFRS)</w:t>
        <w:br w:type="textWrapping"/>
        <w:t xml:space="preserve">US Gaap boekhoudnormen</w:t>
        <w:br w:type="textWrapping"/>
        <w:t xml:space="preserve">Boekhoudwetgeving</w:t>
        <w:br w:type="textWrapping"/>
        <w:t xml:space="preserve">Wetgeving geconsolideerde jaarrekeningen</w:t>
        <w:br w:type="textWrapping"/>
        <w:t xml:space="preserve">Adviezen van de commissie voor boekhoudkundige normen (CBN)</w:t>
        <w:br w:type="textWrapping"/>
        <w:t xml:space="preserve">Digitale boekhoudkundige processen</w:t>
        <w:br w:type="textWrapping"/>
        <w:t xml:space="preserve">Economisch recht</w:t>
        <w:br w:type="textWrapping"/>
        <w:t xml:space="preserve">Interne controle</w:t>
        <w:br w:type="textWrapping"/>
        <w:t xml:space="preserve">Ondernemingsrecht</w:t>
        <w:br w:type="textWrapping"/>
        <w:t xml:space="preserve">Boekhoudkundige consolidatietechnieken</w:t>
        <w:br w:type="textWrapping"/>
        <w:t xml:space="preserve">Externe controle</w:t>
        <w:br w:type="textWrapping"/>
        <w:t xml:space="preserve">Insolventierecht</w:t>
        <w:br w:type="textWrapping"/>
        <w:t xml:space="preserve">Boordtabellen</w:t>
        <w:br w:type="textWrapping"/>
        <w:t xml:space="preserve">Voorraadwaardering</w:t>
        <w:br w:type="textWrapping"/>
        <w:t xml:space="preserve">Organisatiestructuren</w:t>
        <w:br w:type="textWrapping"/>
        <w:t xml:space="preserve">Europese boekhoudwetgeving</w:t>
        <w:br w:type="textWrapping"/>
        <w:t xml:space="preserve">Internationale boekhoudkundige normen</w:t>
        <w:br w:type="textWrapping"/>
        <w:t xml:space="preserve">Sociaal zekerheidsrecht</w:t>
        <w:br w:type="textWrapping"/>
        <w:t xml:space="preserve">Sociaal recht</w:t>
        <w:br w:type="textWrapping"/>
        <w:t xml:space="preserve">Loonadministratie</w:t>
        <w:br w:type="textWrapping"/>
        <w:t xml:space="preserve">Arbeidsrecht</w:t>
        <w:br w:type="textWrapping"/>
        <w:t xml:space="preserve">Contractenrecht</w:t>
        <w:br w:type="textWrapping"/>
        <w:t xml:space="preserve">Fiscaal recht</w:t>
        <w:br w:type="textWrapping"/>
        <w:t xml:space="preserve">ITAA-normen</w:t>
        <w:br w:type="textWrapping"/>
        <w:t xml:space="preserve">Boekhoudkundige en financiële analyse</w:t>
        <w:br w:type="textWrapping"/>
        <w:t xml:space="preserve">Belasting op het inkomen</w:t>
        <w:br w:type="textWrapping"/>
        <w:t xml:space="preserve">Vennootschapsbelasting</w:t>
        <w:br w:type="textWrapping"/>
        <w:t xml:space="preserve">Antiwitwaswetgeving</w:t>
        <w:br w:type="textWrapping"/>
        <w:t xml:space="preserve">Fiscaliteit</w:t>
        <w:br w:type="textWrapping"/>
        <w:t xml:space="preserve">Burgerlijk recht</w:t>
        <w:br w:type="textWrapping"/>
        <w:t xml:space="preserve">Vermogensrecht</w:t>
        <w:br w:type="textWrapping"/>
        <w:t xml:space="preserve">Erf- en successierecht</w:t>
        <w:br w:type="textWrapping"/>
        <w:t xml:space="preserve">Communicatietechnieken</w:t>
        <w:br w:type="textWrapping"/>
        <w:t xml:space="preserve">Frans</w:t>
        <w:br w:type="textWrapping"/>
        <w:t xml:space="preserve">Engels</w:t>
        <w:br w:type="textWrapping"/>
        <w:t xml:space="preserve">Deontologie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Leiderschap</w:t>
        <w:br w:type="textWrapping"/>
        <w:t xml:space="preserve">Management</w:t>
        <w:br w:type="textWrapping"/>
        <w:t xml:space="preserve">Organisatie en planning van activiteiten</w:t>
        <w:br w:type="textWrapping"/>
        <w:t xml:space="preserve">Know Your Customer procedures (KYC)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Persoonsgebonden competenties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Analyseren</w:t>
        <w:br w:type="textWrapping"/>
        <w:t xml:space="preserve">Zorgvuldigheid</w:t>
        <w:br w:type="textWrapping"/>
        <w:t xml:space="preserve">Communiceren</w:t>
        <w:br w:type="textWrapping"/>
        <w:t xml:space="preserve">Samenwerken</w:t>
        <w:br w:type="textWrapping"/>
        <w:t xml:space="preserve">Initiatief</w:t>
        <w:br w:type="textWrapping"/>
        <w:t xml:space="preserve">Resultaatgerichtheid</w:t>
        <w:br w:type="textWrapping"/>
        <w:t xml:space="preserve">Zelfontwikkeling</w:t>
        <w:br w:type="textWrapping"/>
        <w:t xml:space="preserve">Verantwoordelijkheid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Bedrijfsspecifieke competenties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Voeg hier extra kennis en vaardigheden toe die specifiek zijn voor uw bedrijf: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