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Adviseur verzekeringen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Adviseur verzekeringen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informeert en adviseert particulieren of bedrijven over de verzekering van goederen en personen. Je promoot en verkoopt producten en diensten, en stelt contracten op.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Producten en diensten voorstellen</w:t>
        <w:br w:type="textWrapping"/>
        <w:t xml:space="preserve">Contracten opstellen</w:t>
        <w:br w:type="textWrapping"/>
        <w:t xml:space="preserve">Contracten administratief beheren</w:t>
        <w:br w:type="textWrapping"/>
        <w:t xml:space="preserve">De verzekeringsnoden van de klant bepalen</w:t>
        <w:br w:type="textWrapping"/>
        <w:t xml:space="preserve">Klantengesprekken voorbereiden</w:t>
        <w:br w:type="textWrapping"/>
        <w:t xml:space="preserve">Klantengegevens verzamelen</w:t>
        <w:br w:type="textWrapping"/>
        <w:t xml:space="preserve">De financiële situatie van een klant analyseren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Inningen opvolgen</w:t>
        <w:br w:type="textWrapping"/>
        <w:t xml:space="preserve">Een klanten- en prospectenbestand opbouwen</w:t>
        <w:br w:type="textWrapping"/>
        <w:t xml:space="preserve">Vervaldagberichten versturen</w:t>
        <w:br w:type="textWrapping"/>
        <w:t xml:space="preserve">Een schade-expertiseprocedure opstarten</w:t>
        <w:br w:type="textWrapping"/>
        <w:t xml:space="preserve">Een schademelding controleren</w:t>
        <w:br w:type="textWrapping"/>
        <w:t xml:space="preserve">Verzekerden adviseren over preventie en beveiliging</w:t>
        <w:br w:type="textWrapping"/>
        <w:t xml:space="preserve">Schadevergoedingsprocedures opstarten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Verkooptechnieken</w:t>
        <w:br w:type="textWrapping"/>
        <w:t xml:space="preserve">Principes van klantvriendelijkheid</w:t>
        <w:br w:type="textWrapping"/>
        <w:t xml:space="preserve">Sociale wetgeving</w:t>
        <w:br w:type="textWrapping"/>
        <w:t xml:space="preserve">Verzekeringsrecht</w:t>
        <w:br w:type="textWrapping"/>
        <w:t xml:space="preserve">Verzekeringsproducten</w:t>
        <w:br w:type="textWrapping"/>
        <w:t xml:space="preserve">Redactie van juridische documenten</w:t>
        <w:br w:type="textWrapping"/>
        <w:t xml:space="preserve">Software voor databankbeheer</w:t>
        <w:br w:type="textWrapping"/>
        <w:t xml:space="preserve">Software voor klantenbeheer (CRM)</w:t>
        <w:br w:type="textWrapping"/>
        <w:t xml:space="preserve">Typologie van klanten</w:t>
        <w:br w:type="textWrapping"/>
        <w:t xml:space="preserve">Bankregelgeving</w:t>
        <w:br w:type="textWrapping"/>
        <w:t xml:space="preserve">Administratief beheer</w:t>
        <w:br w:type="textWrapping"/>
        <w:t xml:space="preserve">Financiële risicoanalyse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Inningsprocedures</w:t>
        <w:br w:type="textWrapping"/>
        <w:t xml:space="preserve">Betalingswijzen</w:t>
        <w:br w:type="textWrapping"/>
        <w:t xml:space="preserve">Marketing</w:t>
        <w:br w:type="textWrapping"/>
        <w:t xml:space="preserve">Klantenwerving</w:t>
        <w:br w:type="textWrapping"/>
        <w:t xml:space="preserve">Schadebeheer</w:t>
        <w:br w:type="textWrapping"/>
        <w:t xml:space="preserve">Beschermings- en preventietechnieken bij vervuiling</w:t>
        <w:br w:type="textWrapping"/>
        <w:t xml:space="preserve">Anti-inbraaktechnieken</w:t>
        <w:br w:type="textWrapping"/>
        <w:t xml:space="preserve">Regelgeving brandveiligheid</w:t>
        <w:br w:type="textWrapping"/>
        <w:t xml:space="preserve">Risicoanalyse</w:t>
        <w:br w:type="textWrapping"/>
        <w:t xml:space="preserve">Procedures van schadeloosstelling</w:t>
        <w:br w:type="textWrapping"/>
        <w:t xml:space="preserve">Onderhandelingstechnieken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Initiatief</w:t>
        <w:br w:type="textWrapping"/>
        <w:t xml:space="preserve">Commercieel inzicht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