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Adviseur kredieten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Adviseur kredieten</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bestudeert, adviseert of beslist over kredietaanvragen van particulieren of bedrijven. Je evalueert de risico's die gepaard gaan met de toekenning ervan. Je werkt volgens de commerciële en financiële doelstelling van de instelling en volgens de reglementeringen voor financiële instellingen. </w:t>
        <w:br w:type="textWrapping"/>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Producten en diensten voorstellen</w:t>
        <w:br w:type="textWrapping"/>
        <w:t xml:space="preserve">Klantengesprekken voorbereiden</w:t>
        <w:br w:type="textWrapping"/>
        <w:t xml:space="preserve">Debiteurenrekeningen controleren</w:t>
        <w:br w:type="textWrapping"/>
        <w:t xml:space="preserve">Klantengegevens verzamelen</w:t>
        <w:br w:type="textWrapping"/>
        <w:t xml:space="preserve">De financiële situatie van een klant analyseren</w:t>
        <w:br w:type="textWrapping"/>
        <w:t xml:space="preserve">De ontvankelijkheid van een kredietaanvraag analyseren</w:t>
        <w:br w:type="textWrapping"/>
        <w:t xml:space="preserve">De rentabiliteit van een krediet voor de bank analyseren</w:t>
        <w:br w:type="textWrapping"/>
        <w:t xml:space="preserve">De solvabiliteit van schuldeisers en de risico's evalueren</w:t>
        <w:br w:type="textWrapping"/>
        <w:t xml:space="preserve">Adviseren over een kredietaanvraag</w:t>
      </w:r>
    </w:p>
    <w:p w:rsidR="00000000" w:rsidDel="00000000" w:rsidP="00000000" w:rsidRDefault="00000000" w:rsidRPr="00000000" w14:paraId="00000016">
      <w:pPr>
        <w:rPr/>
      </w:pPr>
      <w:r w:rsidDel="00000000" w:rsidR="00000000" w:rsidRPr="00000000">
        <w:rPr>
          <w:rtl w:val="0"/>
        </w:rPr>
        <w:t xml:space="preserve">Een klanten- en prospectenbestand opbouwen</w:t>
        <w:br w:type="textWrapping"/>
        <w:t xml:space="preserve">Beslissen over een kredietaanvraag</w:t>
        <w:br w:type="textWrapping"/>
        <w:t xml:space="preserve">Contracten administratief beheren</w:t>
        <w:br w:type="textWrapping"/>
        <w:t xml:space="preserve">Contracten opstellen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Verkooptechnieken</w:t>
        <w:br w:type="textWrapping"/>
        <w:t xml:space="preserve">Principes van klantvriendelijkheid</w:t>
        <w:br w:type="textWrapping"/>
        <w:t xml:space="preserve">Software voor klantenbeheer (CRM)</w:t>
        <w:br w:type="textWrapping"/>
        <w:t xml:space="preserve">Bankregelgeving</w:t>
        <w:br w:type="textWrapping"/>
        <w:t xml:space="preserve">Administratief beheer</w:t>
        <w:br w:type="textWrapping"/>
        <w:t xml:space="preserve">Financiële risicoanalyse</w:t>
        <w:br w:type="textWrapping"/>
        <w:t xml:space="preserve">Financiële berekeningen</w:t>
        <w:br w:type="textWrapping"/>
        <w:t xml:space="preserve">Algemene boekhouding</w:t>
        <w:br w:type="textWrapping"/>
        <w:t xml:space="preserve">Boekhoudkundig beheer</w:t>
        <w:br w:type="textWrapping"/>
        <w:t xml:space="preserve">Wetgeving op financieel risicobeheer</w:t>
        <w:br w:type="textWrapping"/>
        <w:t xml:space="preserve">Fiscaliteit</w:t>
        <w:br w:type="textWrapping"/>
        <w:t xml:space="preserve">Wettelijke informatieplicht bij het formuleren van adviezen</w:t>
      </w:r>
    </w:p>
    <w:p w:rsidR="00000000" w:rsidDel="00000000" w:rsidP="00000000" w:rsidRDefault="00000000" w:rsidRPr="00000000" w14:paraId="0000001C">
      <w:pPr>
        <w:rPr/>
      </w:pPr>
      <w:r w:rsidDel="00000000" w:rsidR="00000000" w:rsidRPr="00000000">
        <w:rPr>
          <w:rtl w:val="0"/>
        </w:rPr>
        <w:t xml:space="preserve">Software voor databankbeheer</w:t>
        <w:br w:type="textWrapping"/>
        <w:t xml:space="preserve">Marketing</w:t>
        <w:br w:type="textWrapping"/>
        <w:t xml:space="preserve">Typologie van klanten</w:t>
        <w:br w:type="textWrapping"/>
        <w:t xml:space="preserve">Klantenwerving</w:t>
        <w:br w:type="textWrapping"/>
        <w:t xml:space="preserve">Financiële producten</w:t>
        <w:br w:type="textWrapping"/>
        <w:t xml:space="preserve">Onderhandelingstechnieken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Analyseren</w:t>
        <w:br w:type="textWrapping"/>
        <w:t xml:space="preserve">Communiceren</w:t>
        <w:br w:type="textWrapping"/>
        <w:t xml:space="preserve">Samenwerken</w:t>
        <w:br w:type="textWrapping"/>
        <w:t xml:space="preserve">Klantgerichtheid</w:t>
        <w:br w:type="textWrapping"/>
        <w:t xml:space="preserve">Initiatief</w:t>
        <w:br w:type="textWrapping"/>
        <w:t xml:space="preserve">Commercieel inzicht</w:t>
        <w:br w:type="textWrapping"/>
        <w:t xml:space="preserve">Resultaatgerichtheid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