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Adviseur beleggingen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Adviseur beleggingen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adviseert en begeleidt particulieren die willen investeren of beleggen. Je handelt volgens de bank- en financiële reglementering.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Producten en diensten voorstellen</w:t>
        <w:br w:type="textWrapping"/>
        <w:t xml:space="preserve">Klantengesprekken voorbereiden</w:t>
        <w:br w:type="textWrapping"/>
        <w:t xml:space="preserve">Contracten administratief beheren</w:t>
        <w:br w:type="textWrapping"/>
        <w:t xml:space="preserve">De vermogensbalans van een klant opstellen</w:t>
        <w:br w:type="textWrapping"/>
        <w:t xml:space="preserve">Adviseren over budget-, financieel en fiscaal beheer</w:t>
        <w:br w:type="textWrapping"/>
        <w:t xml:space="preserve">Contracten opstellen</w:t>
        <w:br w:type="textWrapping"/>
        <w:t xml:space="preserve">Klantengegevens verzamelen</w:t>
        <w:br w:type="textWrapping"/>
        <w:t xml:space="preserve">De financiële situatie van een klant analyseren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klanten- en prospectenbestand opbouwen</w:t>
        <w:br w:type="textWrapping"/>
        <w:t xml:space="preserve">De markt analyseren</w:t>
        <w:br w:type="textWrapping"/>
        <w:t xml:space="preserve">Adviseren over vastgoedinvesteringen</w:t>
        <w:br w:type="textWrapping"/>
        <w:t xml:space="preserve">Debiteurenrekeningen controleren</w:t>
        <w:br w:type="textWrapping"/>
        <w:t xml:space="preserve">Evoluties op de beurs en de beursindex opvolgen</w:t>
        <w:br w:type="textWrapping"/>
        <w:t xml:space="preserve">Financiële risico's beoordelen</w:t>
        <w:br w:type="textWrapping"/>
        <w:t xml:space="preserve">Portefeuilles van financiële activa beheren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Verkooptechnieken</w:t>
        <w:br w:type="textWrapping"/>
        <w:t xml:space="preserve">Principes van klantvriendelijkheid</w:t>
        <w:br w:type="textWrapping"/>
        <w:t xml:space="preserve">Software voor klantenbeheer (CRM)</w:t>
        <w:br w:type="textWrapping"/>
        <w:t xml:space="preserve">Administratief beheer</w:t>
        <w:br w:type="textWrapping"/>
        <w:t xml:space="preserve">Dossierbeheer</w:t>
        <w:br w:type="textWrapping"/>
        <w:t xml:space="preserve">Algemene boekhouding</w:t>
        <w:br w:type="textWrapping"/>
        <w:t xml:space="preserve">Statistische analyse</w:t>
        <w:br w:type="textWrapping"/>
        <w:t xml:space="preserve">Vermogensrecht</w:t>
        <w:br w:type="textWrapping"/>
        <w:t xml:space="preserve">Financiële software</w:t>
        <w:br w:type="textWrapping"/>
        <w:t xml:space="preserve">Financiële risicoanalyse</w:t>
        <w:br w:type="textWrapping"/>
        <w:t xml:space="preserve">Financiële vermogensanalyse</w:t>
        <w:br w:type="textWrapping"/>
        <w:t xml:space="preserve">Fiscaliteit</w:t>
        <w:br w:type="textWrapping"/>
        <w:t xml:space="preserve">Financiële berekeningen</w:t>
        <w:br w:type="textWrapping"/>
        <w:t xml:space="preserve">Financiële producten</w:t>
        <w:br w:type="textWrapping"/>
        <w:t xml:space="preserve">Financiële markteconomie</w:t>
        <w:br w:type="textWrapping"/>
        <w:t xml:space="preserve">Wettelijke informatieplicht bij het formuleren van adviezen</w:t>
        <w:br w:type="textWrapping"/>
        <w:t xml:space="preserve">Bankregelgeving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Software voor databankbeheer</w:t>
        <w:br w:type="textWrapping"/>
        <w:t xml:space="preserve">Marketing</w:t>
        <w:br w:type="textWrapping"/>
        <w:t xml:space="preserve">Typologie van klanten</w:t>
        <w:br w:type="textWrapping"/>
        <w:t xml:space="preserve">Klantenwerving</w:t>
        <w:br w:type="textWrapping"/>
        <w:t xml:space="preserve">Milieunormen</w:t>
        <w:br w:type="textWrapping"/>
        <w:t xml:space="preserve">Vastgoedrecht</w:t>
        <w:br w:type="textWrapping"/>
        <w:t xml:space="preserve">Stedenbouw</w:t>
        <w:br w:type="textWrapping"/>
        <w:t xml:space="preserve">Bouwtechnieken</w:t>
        <w:br w:type="textWrapping"/>
        <w:t xml:space="preserve">Planningstechnieken</w:t>
        <w:br w:type="textWrapping"/>
        <w:t xml:space="preserve">Wetgeving sociale huisvesting</w:t>
        <w:br w:type="textWrapping"/>
        <w:t xml:space="preserve">Investeringsanalyse</w:t>
        <w:br w:type="textWrapping"/>
        <w:t xml:space="preserve">Vastgoedexpertise</w:t>
        <w:br w:type="textWrapping"/>
        <w:t xml:space="preserve">Kostenanalyse</w:t>
        <w:br w:type="textWrapping"/>
        <w:t xml:space="preserve">Renovatietechnieken</w:t>
        <w:br w:type="textWrapping"/>
        <w:t xml:space="preserve">Financiële analyse</w:t>
        <w:br w:type="textWrapping"/>
        <w:t xml:space="preserve">Business intelligence</w:t>
        <w:br w:type="textWrapping"/>
        <w:t xml:space="preserve">Opvolging van informatiebronnen</w:t>
        <w:br w:type="textWrapping"/>
        <w:t xml:space="preserve">Wetgeving op financieel risicobeheer</w:t>
        <w:br w:type="textWrapping"/>
        <w:t xml:space="preserve">Financieel portefeuillebeheer</w:t>
        <w:br w:type="textWrapping"/>
        <w:t xml:space="preserve">Waarderingsmethodes</w:t>
        <w:br w:type="textWrapping"/>
        <w:t xml:space="preserve">Moderne portefeuilletheorie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Commercieel inzicht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