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Vastgoedbemiddelaar verkoop en verhuur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Vastgoedbemiddelaar verkoop en verhuur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realiseert vastgoedtransacties bij verkoop of verhuur door particulieren. Je adviseert klanten over aankoop-, huur- en verkoopmogelijkheden. Je werkt volgens de vastgoedwetgeving.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Commerciële promotie voeren</w:t>
        <w:br w:type="textWrapping"/>
        <w:t xml:space="preserve">Een markt prospecteren</w:t>
        <w:br w:type="textWrapping"/>
        <w:t xml:space="preserve">Klantenrelaties opvolgen</w:t>
        <w:br w:type="textWrapping"/>
        <w:t xml:space="preserve">De vraag van de klant analyseren</w:t>
        <w:br w:type="textWrapping"/>
        <w:t xml:space="preserve">Vastgoed en gronden zoeken</w:t>
        <w:br w:type="textWrapping"/>
        <w:t xml:space="preserve">Een aanvraag formaliseren</w:t>
        <w:br w:type="textWrapping"/>
        <w:t xml:space="preserve">Een vastgoedtransactie begeleiden</w:t>
        <w:br w:type="textWrapping"/>
        <w:t xml:space="preserve">Advies geven over vastgoed</w:t>
        <w:br w:type="textWrapping"/>
        <w:t xml:space="preserve">Een expertise op onroerend goed uitvoeren</w:t>
        <w:br w:type="textWrapping"/>
        <w:t xml:space="preserve">De waarde van een onroerend goed schatten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Een professioneel netwerk uitbouwen</w:t>
        <w:br w:type="textWrapping"/>
        <w:t xml:space="preserve">Administratieve dossiers samenstellen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Marketing</w:t>
        <w:br w:type="textWrapping"/>
        <w:t xml:space="preserve">Informatie- en communicatietechnologie (ICT)</w:t>
        <w:br w:type="textWrapping"/>
        <w:t xml:space="preserve">Multimedia</w:t>
        <w:br w:type="textWrapping"/>
        <w:t xml:space="preserve">Socialmediamarketing</w:t>
        <w:br w:type="textWrapping"/>
        <w:t xml:space="preserve">Klantenwerving</w:t>
        <w:br w:type="textWrapping"/>
        <w:t xml:space="preserve">Communicatietechnieken</w:t>
        <w:br w:type="textWrapping"/>
        <w:t xml:space="preserve">Beheer van klantenrelaties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Vastgoedmarkt</w:t>
        <w:br w:type="textWrapping"/>
        <w:t xml:space="preserve">Opvolging van informatiebronnen</w:t>
        <w:br w:type="textWrapping"/>
        <w:t xml:space="preserve">Monitoring tools</w:t>
        <w:br w:type="textWrapping"/>
        <w:t xml:space="preserve">Deontologie</w:t>
        <w:br w:type="textWrapping"/>
        <w:t xml:space="preserve">Vastgoedrecht</w:t>
        <w:br w:type="textWrapping"/>
        <w:t xml:space="preserve">Digitale communicatie</w:t>
        <w:br w:type="textWrapping"/>
        <w:t xml:space="preserve">Vastgoedsoftware</w:t>
        <w:br w:type="textWrapping"/>
        <w:t xml:space="preserve">Kantoorsoftware</w:t>
        <w:br w:type="textWrapping"/>
        <w:t xml:space="preserve">General Data Protection Regulation (GDPR)</w:t>
        <w:br w:type="textWrapping"/>
        <w:t xml:space="preserve">Onderhandelingstechnieken</w:t>
        <w:br w:type="textWrapping"/>
        <w:t xml:space="preserve">Wet marktpraktijken en consumentenbescherming (WMPC)</w:t>
        <w:br w:type="textWrapping"/>
        <w:t xml:space="preserve">Verkooptechnieken</w:t>
        <w:br w:type="textWrapping"/>
        <w:t xml:space="preserve">Fiscaliteit</w:t>
        <w:br w:type="textWrapping"/>
        <w:t xml:space="preserve">Regelgeving rond mede-eigendom</w:t>
        <w:br w:type="textWrapping"/>
        <w:t xml:space="preserve">Algemene boekhouding</w:t>
        <w:br w:type="textWrapping"/>
        <w:t xml:space="preserve">Huurwetgeving</w:t>
        <w:br w:type="textWrapping"/>
        <w:t xml:space="preserve">Energieprestatieregelgeving</w:t>
        <w:br w:type="textWrapping"/>
        <w:t xml:space="preserve">Wet Breyne</w:t>
        <w:br w:type="textWrapping"/>
        <w:t xml:space="preserve">Milieunormen</w:t>
        <w:br w:type="textWrapping"/>
        <w:t xml:space="preserve">Stedenbouw</w:t>
        <w:br w:type="textWrapping"/>
        <w:t xml:space="preserve">Bouwtechnieken</w:t>
        <w:br w:type="textWrapping"/>
        <w:t xml:space="preserve">Investeringsanalyse</w:t>
        <w:br w:type="textWrapping"/>
        <w:t xml:space="preserve">Financieringsplannen</w:t>
        <w:br w:type="textWrapping"/>
        <w:t xml:space="preserve">Kostenanalyse</w:t>
        <w:br w:type="textWrapping"/>
        <w:t xml:space="preserve">Antiwitwaswetgeving</w:t>
        <w:br w:type="textWrapping"/>
        <w:t xml:space="preserve">Antidiscriminatiewetgeving</w:t>
        <w:br w:type="textWrapping"/>
        <w:t xml:space="preserve">Renovatietechnieken</w:t>
        <w:br w:type="textWrapping"/>
        <w:t xml:space="preserve">Bouwsubsidies</w:t>
        <w:br w:type="textWrapping"/>
        <w:t xml:space="preserve">Vastgoedexpertise</w:t>
        <w:br w:type="textWrapping"/>
        <w:t xml:space="preserve">Statistische analyse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Administratief beheer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Commercieel inzicht</w:t>
        <w:br w:type="textWrapping"/>
        <w:t xml:space="preserve">Resultaatgerichtheid</w:t>
        <w:br w:type="textWrapping"/>
        <w:t xml:space="preserve">Zelfontwikkeling</w:t>
        <w:br w:type="textWrapping"/>
        <w:t xml:space="preserve">Digitaal denken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