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Technisch-administratief medewerker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Technisch-administratief medewerker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ondersteunt technische projecten en opdrachten en zorgt voor het administratief beheer.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Administratieve dossiers samenstellen</w:t>
        <w:br w:type="textWrapping"/>
        <w:t xml:space="preserve">Informatie geven</w:t>
        <w:br w:type="textWrapping"/>
        <w:t xml:space="preserve">Documenten of informatie klasseren</w:t>
        <w:br w:type="textWrapping"/>
        <w:t xml:space="preserve">Digitale documenten beheren</w:t>
        <w:br w:type="textWrapping"/>
        <w:t xml:space="preserve">Contracten administratief beheren</w:t>
        <w:br w:type="textWrapping"/>
        <w:t xml:space="preserve">Documentatie opzoeken</w:t>
        <w:br w:type="textWrapping"/>
        <w:t xml:space="preserve">Facturatie voorbereiden</w:t>
        <w:br w:type="textWrapping"/>
        <w:t xml:space="preserve">Het transport van goederen organiseren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De uitvoering van prestaties controleren</w:t>
        <w:br w:type="textWrapping"/>
        <w:t xml:space="preserve">De behandeling van een order opvolgen</w:t>
        <w:br w:type="textWrapping"/>
        <w:t xml:space="preserve">Een aanbesteding uitschrijven</w:t>
        <w:br w:type="textWrapping"/>
        <w:t xml:space="preserve">Inschrijven op een aanbesteding</w:t>
        <w:br w:type="textWrapping"/>
        <w:t xml:space="preserve">Post en mails administratief beheren</w:t>
        <w:br w:type="textWrapping"/>
        <w:t xml:space="preserve">Werfvergaderingen en werfbezoeken organiseren</w:t>
        <w:br w:type="textWrapping"/>
        <w:t xml:space="preserve">Een verslag opstellen van een vergadering</w:t>
        <w:br w:type="textWrapping"/>
        <w:t xml:space="preserve">Verplaatsingen van medewerkers organiseren</w:t>
        <w:br w:type="textWrapping"/>
        <w:t xml:space="preserve">Betalingen opvolgen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Kantoorsoftware</w:t>
        <w:br w:type="textWrapping"/>
        <w:t xml:space="preserve">Dossierbeheer</w:t>
        <w:br w:type="textWrapping"/>
        <w:t xml:space="preserve">Communicatietechnieken</w:t>
        <w:br w:type="textWrapping"/>
        <w:t xml:space="preserve">Principes van klantvriendelijkheid</w:t>
        <w:br w:type="textWrapping"/>
        <w:t xml:space="preserve">Informatiebeheer</w:t>
        <w:br w:type="textWrapping"/>
        <w:t xml:space="preserve">Digitalisering</w:t>
        <w:br w:type="textWrapping"/>
        <w:t xml:space="preserve">Administratief beheer</w:t>
        <w:br w:type="textWrapping"/>
        <w:t xml:space="preserve">Juridische terminologie</w:t>
        <w:br w:type="textWrapping"/>
        <w:t xml:space="preserve">Opvolging van informatiebronnen</w:t>
        <w:br w:type="textWrapping"/>
        <w:t xml:space="preserve">Boekhoudkundig beheer</w:t>
        <w:br w:type="textWrapping"/>
        <w:t xml:space="preserve">Prijsbepaling en BTW</w:t>
        <w:br w:type="textWrapping"/>
        <w:t xml:space="preserve">Planningsinstrumenten</w:t>
        <w:br w:type="textWrapping"/>
        <w:t xml:space="preserve">Project resources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Kwaliteitsnormen</w:t>
        <w:br w:type="textWrapping"/>
        <w:t xml:space="preserve">Key Performance Indicators (KPI)</w:t>
        <w:br w:type="textWrapping"/>
        <w:t xml:space="preserve">Wet marktpraktijken en consumentenbescherming (WMPC)</w:t>
        <w:br w:type="textWrapping"/>
        <w:t xml:space="preserve">Software voor klantenbeheer (CRM)</w:t>
        <w:br w:type="textWrapping"/>
        <w:t xml:space="preserve">Dienst na verkoop</w:t>
        <w:br w:type="textWrapping"/>
        <w:t xml:space="preserve">Logistieke keten (supply chain)</w:t>
        <w:br w:type="textWrapping"/>
        <w:t xml:space="preserve">Wetgeving voor overheidsopdrachten</w:t>
        <w:br w:type="textWrapping"/>
        <w:t xml:space="preserve">Aanbestedingsprocedures</w:t>
        <w:br w:type="textWrapping"/>
        <w:t xml:space="preserve">Bestek van bijzondere technische clausules</w:t>
        <w:br w:type="textWrapping"/>
        <w:t xml:space="preserve">Bestek van bijzondere administratieve clausules</w:t>
        <w:br w:type="textWrapping"/>
        <w:t xml:space="preserve">Stenografie</w:t>
        <w:br w:type="textWrapping"/>
        <w:t xml:space="preserve">Frankeermachine</w:t>
        <w:br w:type="textWrapping"/>
        <w:t xml:space="preserve">Digitale samenwerkingstools</w:t>
        <w:br w:type="textWrapping"/>
        <w:t xml:space="preserve">Redactionele normen</w:t>
        <w:br w:type="textWrapping"/>
        <w:t xml:space="preserve">Technieken om te noteren</w:t>
        <w:br w:type="textWrapping"/>
        <w:t xml:space="preserve">Veiligheidsregels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Communiceren</w:t>
        <w:br w:type="textWrapping"/>
        <w:t xml:space="preserve">Samenwerken</w:t>
        <w:br w:type="textWrapping"/>
        <w:t xml:space="preserve">Klantgerichtheid</w:t>
        <w:br w:type="textWrapping"/>
        <w:t xml:space="preserve">Plannen en organiseren</w:t>
        <w:br w:type="textWrapping"/>
        <w:t xml:space="preserve">Resultaatgerichtheid</w:t>
        <w:br w:type="textWrapping"/>
        <w:t xml:space="preserve">Diversiteit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