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Kelner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Kelner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onthaalt klanten en dient eten en drinken op. Je zet de zaal klaar en ruimt de tafels af. Je volgt de regels voor kwaliteit, hygiëne en voedselveiligheid.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Betalingen ontvangen</w:t>
        <w:br w:type="textWrapping"/>
        <w:t xml:space="preserve">Zaalservice uitvoeren</w:t>
        <w:br w:type="textWrapping"/>
        <w:t xml:space="preserve">Klanten onthalen</w:t>
        <w:br w:type="textWrapping"/>
        <w:t xml:space="preserve">De ontvangstruimte schoonmaken</w:t>
        <w:br w:type="textWrapping"/>
        <w:t xml:space="preserve">Gerechten afwerken</w:t>
        <w:br w:type="textWrapping"/>
        <w:t xml:space="preserve">Reservaties bevestigen en de bezetting updaten</w:t>
        <w:br w:type="textWrapping"/>
        <w:t xml:space="preserve">Adviseren over de keuze van gerechten</w:t>
        <w:br w:type="textWrapping"/>
        <w:t xml:space="preserve">Voedselveilig en hygiënisch werken</w:t>
        <w:br w:type="textWrapping"/>
        <w:t xml:space="preserve">Mise-en-place verrichten</w:t>
        <w:br w:type="textWrapping"/>
        <w:t xml:space="preserve">De bestelling van klanten opnemen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Medewerkers trainen in technieken en procedures</w:t>
        <w:br w:type="textWrapping"/>
        <w:t xml:space="preserve">Barservice uitvoeren</w:t>
        <w:br w:type="textWrapping"/>
        <w:t xml:space="preserve">Kostenbewust werken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Betalingswijzen</w:t>
        <w:br w:type="textWrapping"/>
        <w:t xml:space="preserve">Kassabeheer</w:t>
        <w:br w:type="textWrapping"/>
        <w:t xml:space="preserve">Prijsbepaling en BTW</w:t>
        <w:br w:type="textWrapping"/>
        <w:t xml:space="preserve">Principes van klantvriendelijkheid</w:t>
        <w:br w:type="textWrapping"/>
        <w:t xml:space="preserve">Richtlijnen voor hygiëne en netheid</w:t>
        <w:br w:type="textWrapping"/>
        <w:t xml:space="preserve">Hazard Analysis Critical Control Point (HACCP)</w:t>
        <w:br w:type="textWrapping"/>
        <w:t xml:space="preserve">Goede Hygiëne Praktijken (GHP)</w:t>
        <w:br w:type="textWrapping"/>
        <w:t xml:space="preserve">Etiquette</w:t>
        <w:br w:type="textWrapping"/>
        <w:t xml:space="preserve">Serveertechnieken</w:t>
        <w:br w:type="textWrapping"/>
        <w:t xml:space="preserve">Typologie van klanten</w:t>
        <w:br w:type="textWrapping"/>
        <w:t xml:space="preserve">Onthaaltechnieken</w:t>
        <w:br w:type="textWrapping"/>
        <w:t xml:space="preserve">Veiligheidsregels</w:t>
        <w:br w:type="textWrapping"/>
        <w:t xml:space="preserve">Schoonmaaktechnieken</w:t>
        <w:br w:type="textWrapping"/>
        <w:t xml:space="preserve">Keukengerei</w:t>
        <w:br w:type="textWrapping"/>
        <w:t xml:space="preserve">Planningstechnieken</w:t>
        <w:br w:type="textWrapping"/>
        <w:t xml:space="preserve">Culinaire basisbegrippen</w:t>
        <w:br w:type="textWrapping"/>
        <w:t xml:space="preserve">Voedselallergieën</w:t>
        <w:br w:type="textWrapping"/>
        <w:t xml:space="preserve">Afstemming gerechten en dranken</w:t>
        <w:br w:type="textWrapping"/>
        <w:t xml:space="preserve">Criteria voor afvalsortering</w:t>
        <w:br w:type="textWrapping"/>
        <w:t xml:space="preserve">Good Manufacturing Practice (GMP)</w:t>
        <w:br w:type="textWrapping"/>
        <w:t xml:space="preserve">Codex over het welzijn op het werk</w:t>
        <w:br w:type="textWrapping"/>
        <w:t xml:space="preserve">Gids voor autocontrole in de voedselveiligheid</w:t>
        <w:br w:type="textWrapping"/>
        <w:t xml:space="preserve">FEFO-principe (First Expired - First Out)</w:t>
        <w:br w:type="textWrapping"/>
        <w:t xml:space="preserve">FIFO-principe (First In - First Out)</w:t>
        <w:br w:type="textWrapping"/>
        <w:t xml:space="preserve">Tafelschikking</w:t>
        <w:br w:type="textWrapping"/>
        <w:t xml:space="preserve">Organisatie en planning van activiteiten</w:t>
        <w:br w:type="textWrapping"/>
        <w:t xml:space="preserve">Visuele controle</w:t>
        <w:br w:type="textWrapping"/>
        <w:t xml:space="preserve">Verkooptechnieken</w:t>
        <w:br w:type="textWrapping"/>
        <w:t xml:space="preserve">Memorisatietechnieken</w:t>
        <w:br w:type="textWrapping"/>
        <w:t xml:space="preserve">Productenassortiment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Didactische technieken</w:t>
        <w:br w:type="textWrapping"/>
        <w:t xml:space="preserve">Opleidingstechnieken</w:t>
        <w:br w:type="textWrapping"/>
        <w:t xml:space="preserve">Barmateriaal</w:t>
        <w:br w:type="textWrapping"/>
        <w:t xml:space="preserve">Wetgeving over alcohol</w:t>
        <w:br w:type="textWrapping"/>
        <w:t xml:space="preserve">Kostprijsberekening</w:t>
        <w:br w:type="textWrapping"/>
        <w:t xml:space="preserve">Kwaliteitsnormen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Samenwerken</w:t>
        <w:br w:type="textWrapping"/>
        <w:t xml:space="preserve">Klantgerichtheid</w:t>
        <w:br w:type="textWrapping"/>
        <w:t xml:space="preserve">Flexibiliteit</w:t>
        <w:br w:type="textWrapping"/>
        <w:t xml:space="preserve">Diversiteit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