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Vrachtwagenbestuurder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Vrachtwagenbestuurder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bestuurt een vrachtwagen. Je brengt goederen naar klanten in het binnen- en buitenland. Je werkt veilig en stipt. Je controleert de vrachtwagen en de lading. Je houdt je aan de verkeersregels en zorgt ervoor dat alle documenten in orde zijn.</w:t>
        <w:tab/>
        <w:tab/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Laden en lossen</w:t>
        <w:br w:type="textWrapping"/>
        <w:t xml:space="preserve">Boorddocumenten invullen</w:t>
        <w:br w:type="textWrapping"/>
        <w:t xml:space="preserve">Noodmaatregelen nemen bij een incident</w:t>
        <w:br w:type="textWrapping"/>
        <w:t xml:space="preserve">De werking van het voertuig controleren</w:t>
        <w:br w:type="textWrapping"/>
        <w:t xml:space="preserve">Boord- en transportdocumenten nakijken</w:t>
        <w:br w:type="textWrapping"/>
        <w:t xml:space="preserve">Veilig werken</w:t>
        <w:br w:type="textWrapping"/>
        <w:t xml:space="preserve">Een voertuig besturen</w:t>
        <w:br w:type="textWrapping"/>
        <w:t xml:space="preserve">Het laden en lossen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Basisonderhoud aan het voertuig uitvoeren</w:t>
        <w:br w:type="textWrapping"/>
        <w:t xml:space="preserve">Het traject uitstippelen volgens de vereisten van de levering</w:t>
        <w:br w:type="textWrapping"/>
        <w:t xml:space="preserve">Werken op hoogte</w:t>
        <w:br w:type="textWrapping"/>
        <w:t xml:space="preserve">Producten doseren</w:t>
        <w:br w:type="textWrapping"/>
        <w:t xml:space="preserve">Beton leveren</w:t>
        <w:br w:type="textWrapping"/>
        <w:t xml:space="preserve">Bestellingen leveren</w:t>
        <w:br w:type="textWrapping"/>
        <w:t xml:space="preserve">Een tankwagen laden</w:t>
        <w:br w:type="textWrapping"/>
        <w:t xml:space="preserve">Betalingen ontvangen</w:t>
        <w:br w:type="textWrapping"/>
        <w:t xml:space="preserve">Brandstoffen leveren</w:t>
        <w:br w:type="textWrapping"/>
        <w:t xml:space="preserve">Stalen nemen</w:t>
        <w:br w:type="textWrapping"/>
        <w:t xml:space="preserve">Werkzaamheden op de werf voorbereiden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Stapelhulpmiddelen</w:t>
        <w:br w:type="textWrapping"/>
        <w:t xml:space="preserve">EHBO</w:t>
        <w:br w:type="textWrapping"/>
        <w:t xml:space="preserve">Brandbestrijdingstechnieken</w:t>
        <w:br w:type="textWrapping"/>
        <w:t xml:space="preserve">Noodprocedures</w:t>
        <w:br w:type="textWrapping"/>
        <w:t xml:space="preserve">Transportreglementering</w:t>
        <w:br w:type="textWrapping"/>
        <w:t xml:space="preserve">Regelgeving rond goederentransport</w:t>
        <w:br w:type="textWrapping"/>
        <w:t xml:space="preserve">Douanereglementering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Een computersysteem (ingebouwd of vast)</w:t>
        <w:br w:type="textWrapping"/>
        <w:t xml:space="preserve">Tachograaf</w:t>
        <w:br w:type="textWrapping"/>
        <w:t xml:space="preserve">GPS/Navigatietoestellen</w:t>
        <w:br w:type="textWrapping"/>
        <w:t xml:space="preserve">Wegcode</w:t>
        <w:br w:type="textWrapping"/>
        <w:t xml:space="preserve">Regelgeving voor wegtransport</w:t>
        <w:br w:type="textWrapping"/>
        <w:t xml:space="preserve">Mobiele apparaten</w:t>
        <w:br w:type="textWrapping"/>
        <w:t xml:space="preserve">Typologie van schadegevallen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Automechanica</w:t>
        <w:br w:type="textWrapping"/>
        <w:t xml:space="preserve">Voertuigonderhoud</w:t>
        <w:br w:type="textWrapping"/>
        <w:t xml:space="preserve">Geografie</w:t>
        <w:br w:type="textWrapping"/>
        <w:t xml:space="preserve">Planningstechnieken</w:t>
        <w:br w:type="textWrapping"/>
        <w:t xml:space="preserve">Wegenkaarten</w:t>
        <w:br w:type="textWrapping"/>
        <w:t xml:space="preserve">Wetgeving over werken op hoogte</w:t>
        <w:br w:type="textWrapping"/>
        <w:t xml:space="preserve">Invloed van windlast en grote hoogtes</w:t>
        <w:br w:type="textWrapping"/>
        <w:t xml:space="preserve">Weeg- en doseermateriaal</w:t>
        <w:br w:type="textWrapping"/>
        <w:t xml:space="preserve">Conversie van meeteenheden</w:t>
        <w:br w:type="textWrapping"/>
        <w:t xml:space="preserve">Productieprocessen</w:t>
        <w:br w:type="textWrapping"/>
        <w:t xml:space="preserve">Precisiedosering</w:t>
        <w:br w:type="textWrapping"/>
        <w:t xml:space="preserve">Kwaliteitsnormen</w:t>
        <w:br w:type="textWrapping"/>
        <w:t xml:space="preserve">Principes van klantvriendelijkheid</w:t>
        <w:br w:type="textWrapping"/>
        <w:t xml:space="preserve">Controle- en meetapparatuur</w:t>
        <w:br w:type="textWrapping"/>
        <w:t xml:space="preserve">Stedelijke circulatie- en parkeerregels</w:t>
        <w:br w:type="textWrapping"/>
        <w:t xml:space="preserve">Eigenschappen van brandstoffen</w:t>
        <w:br w:type="textWrapping"/>
        <w:t xml:space="preserve">Tankprocedures</w:t>
        <w:br w:type="textWrapping"/>
        <w:t xml:space="preserve">Inningsprocedures</w:t>
        <w:br w:type="textWrapping"/>
        <w:t xml:space="preserve">Betalingswijzen</w:t>
        <w:br w:type="textWrapping"/>
        <w:t xml:space="preserve">Diefstalpreventie</w:t>
        <w:br w:type="textWrapping"/>
        <w:t xml:space="preserve">Procedures voor staalname</w:t>
        <w:br w:type="textWrapping"/>
        <w:t xml:space="preserve">Instrumenten voor het nemen van stalen</w:t>
        <w:br w:type="textWrapping"/>
        <w:t xml:space="preserve">Lezen van plannen en schema's</w:t>
        <w:br w:type="textWrapping"/>
        <w:t xml:space="preserve">Werforganisatie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