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Monitor-begeleider in de sociale economie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Monitor-begeleider in de sociale economie</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begeleidt medewerkers die in de sociale economie werken. Dit zijn bijvoorbeeld mensen met een mentale of fysieke beperking, of met gedragsproblemen. Je helpt hen met hun taken en leert hen op tijd komen, ordelijk werken... Je hebt contact met klanten en andere organisaties. De taken die je begeleidt, zijn afhankelijk van de werkplaats. </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uitvoering van prestaties controleren</w:t>
        <w:br w:type="textWrapping"/>
        <w:t xml:space="preserve">Een team coördineren</w:t>
        <w:br w:type="textWrapping"/>
        <w:t xml:space="preserve">Medewerkers trainen in technieken en procedures</w:t>
        <w:br w:type="textWrapping"/>
        <w:t xml:space="preserve">De professionele ontwikkeling begeleiden</w:t>
        <w:br w:type="textWrapping"/>
        <w:t xml:space="preserve">De integratie van personen opvolgen</w:t>
        <w:br w:type="textWrapping"/>
        <w:t xml:space="preserve">Sociaal-emotionele steun bieden</w:t>
        <w:br w:type="textWrapping"/>
        <w:t xml:space="preserve">De naleving van preventiemaatregelen controleren (QHSE)</w:t>
        <w:br w:type="textWrapping"/>
        <w:t xml:space="preserve">De werkzaamheden plannen</w:t>
        <w:br w:type="textWrapping"/>
        <w:t xml:space="preserve">Optreden bij conflicten </w:t>
      </w:r>
    </w:p>
    <w:p w:rsidR="00000000" w:rsidDel="00000000" w:rsidP="00000000" w:rsidRDefault="00000000" w:rsidRPr="00000000" w14:paraId="00000016">
      <w:pPr>
        <w:rPr/>
      </w:pPr>
      <w:r w:rsidDel="00000000" w:rsidR="00000000" w:rsidRPr="00000000">
        <w:rPr>
          <w:rtl w:val="0"/>
        </w:rPr>
        <w:t xml:space="preserve">De voorraad opvolgen</w:t>
        <w:br w:type="textWrapping"/>
        <w:t xml:space="preserve">Machines of apparatuur onderhouden</w:t>
        <w:br w:type="textWrapping"/>
        <w:t xml:space="preserve">Bestellingen voorbereiden</w:t>
        <w:br w:type="textWrapping"/>
        <w:t xml:space="preserve">Een klanten- en prospectenbestand opbouwen</w:t>
        <w:br w:type="textWrapping"/>
        <w:t xml:space="preserve">Tuinen en groene zones onderhouden</w:t>
        <w:br w:type="textWrapping"/>
        <w:t xml:space="preserve">De uitvoering vastleggen met de klant</w:t>
        <w:br w:type="textWrapping"/>
        <w:t xml:space="preserve">Personeelsadministratie uitvoeren</w:t>
        <w:br w:type="textWrapping"/>
        <w:t xml:space="preserve">Kluswerk uitvoeren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Communicatietechnieken</w:t>
        <w:br w:type="textWrapping"/>
        <w:t xml:space="preserve">Kwaliteitsnormen</w:t>
        <w:br w:type="textWrapping"/>
        <w:t xml:space="preserve">Key Performance Indicators (KPI)</w:t>
        <w:br w:type="textWrapping"/>
        <w:t xml:space="preserve">Leiderschap</w:t>
        <w:br w:type="textWrapping"/>
        <w:t xml:space="preserve">Management</w:t>
        <w:br w:type="textWrapping"/>
        <w:t xml:space="preserve">Organisatie en planning van activiteiten</w:t>
        <w:br w:type="textWrapping"/>
        <w:t xml:space="preserve">Didactische technieken</w:t>
        <w:br w:type="textWrapping"/>
        <w:t xml:space="preserve">Opleidingstechnieken</w:t>
        <w:br w:type="textWrapping"/>
        <w:t xml:space="preserve">Conflictvoorkoming en -beheersing</w:t>
        <w:br w:type="textWrapping"/>
        <w:t xml:space="preserve">Luister- en omgangstechnieken</w:t>
        <w:br w:type="textWrapping"/>
        <w:t xml:space="preserve">Psychiatrische aandoeningen</w:t>
        <w:br w:type="textWrapping"/>
        <w:t xml:space="preserve">Internationale classificatie van het menselijk functioneren (ICF)</w:t>
        <w:br w:type="textWrapping"/>
        <w:t xml:space="preserve">Tekenen van verslaving</w:t>
        <w:br w:type="textWrapping"/>
        <w:t xml:space="preserve">Informatie- en communicatietechnologie (ICT)</w:t>
        <w:br w:type="textWrapping"/>
        <w:t xml:space="preserve">General Data Protection Regulation (GDPR)</w:t>
        <w:br w:type="textWrapping"/>
        <w:t xml:space="preserve">Arbeidsattitudes</w:t>
        <w:br w:type="textWrapping"/>
        <w:t xml:space="preserve">Sociale wetgeving</w:t>
        <w:br w:type="textWrapping"/>
        <w:t xml:space="preserve">Sociale economie</w:t>
        <w:br w:type="textWrapping"/>
        <w:t xml:space="preserve">Evaluatiemethodes</w:t>
        <w:br w:type="textWrapping"/>
        <w:t xml:space="preserve">Observatietechnieken</w:t>
        <w:br w:type="textWrapping"/>
        <w:t xml:space="preserve">Milieunormen</w:t>
        <w:br w:type="textWrapping"/>
        <w:t xml:space="preserve">Kwaliteit, gezondheid, veiligheid en milieu</w:t>
        <w:br w:type="textWrapping"/>
        <w:t xml:space="preserve">Planningstechnieken</w:t>
        <w:br w:type="textWrapping"/>
        <w:t xml:space="preserve">Werkorganisatie</w:t>
        <w:br w:type="textWrapping"/>
        <w:t xml:space="preserve">Kantoorsoftware</w:t>
        <w:br w:type="textWrapping"/>
        <w:t xml:space="preserve">Deontologie</w:t>
      </w:r>
    </w:p>
    <w:p w:rsidR="00000000" w:rsidDel="00000000" w:rsidP="00000000" w:rsidRDefault="00000000" w:rsidRPr="00000000" w14:paraId="0000001C">
      <w:pPr>
        <w:rPr/>
      </w:pPr>
      <w:r w:rsidDel="00000000" w:rsidR="00000000" w:rsidRPr="00000000">
        <w:rPr>
          <w:rtl w:val="0"/>
        </w:rPr>
        <w:t xml:space="preserve">Inventaristechnieken</w:t>
        <w:br w:type="textWrapping"/>
        <w:t xml:space="preserve">Stock- en voorraadbeheer</w:t>
        <w:br w:type="textWrapping"/>
        <w:t xml:space="preserve">Software voor voorraadbeheer</w:t>
        <w:br w:type="textWrapping"/>
        <w:t xml:space="preserve">FIFO-principe (First In - First Out)</w:t>
        <w:br w:type="textWrapping"/>
        <w:t xml:space="preserve">Veiligheidsregels</w:t>
        <w:br w:type="textWrapping"/>
        <w:t xml:space="preserve">Draagbaar elektrisch gereedschap</w:t>
        <w:br w:type="textWrapping"/>
        <w:t xml:space="preserve">Lezen van plannen en schema's</w:t>
        <w:br w:type="textWrapping"/>
        <w:t xml:space="preserve">Meetinstrumenten</w:t>
        <w:br w:type="textWrapping"/>
        <w:t xml:space="preserve">Mechanisch gereedschap</w:t>
        <w:br w:type="textWrapping"/>
        <w:t xml:space="preserve">Onderhoudsprocedures</w:t>
        <w:br w:type="textWrapping"/>
        <w:t xml:space="preserve">Handgereedschap</w:t>
        <w:br w:type="textWrapping"/>
        <w:t xml:space="preserve">Ergonomische hef- en tiltechnieken</w:t>
        <w:br w:type="textWrapping"/>
        <w:t xml:space="preserve">Niet-gemotoriseerde machines voor goederenbehandeling</w:t>
        <w:br w:type="textWrapping"/>
        <w:t xml:space="preserve">Software voor databankbeheer</w:t>
        <w:br w:type="textWrapping"/>
        <w:t xml:space="preserve">Marketing</w:t>
        <w:br w:type="textWrapping"/>
        <w:t xml:space="preserve">Typologie van klanten</w:t>
        <w:br w:type="textWrapping"/>
        <w:t xml:space="preserve">Software voor klantenbeheer (CRM)</w:t>
        <w:br w:type="textWrapping"/>
        <w:t xml:space="preserve">Klantenwerving</w:t>
        <w:br w:type="textWrapping"/>
        <w:t xml:space="preserve">Fytosanitaire reglementering</w:t>
        <w:br w:type="textWrapping"/>
        <w:t xml:space="preserve">Soorten onderhoudsproducten voor planten</w:t>
        <w:br w:type="textWrapping"/>
        <w:t xml:space="preserve">Fytosanitaire producten</w:t>
        <w:br w:type="textWrapping"/>
        <w:t xml:space="preserve">Technieken voor onkruidbestrijding</w:t>
        <w:br w:type="textWrapping"/>
        <w:t xml:space="preserve">Verpottechnieken</w:t>
        <w:br w:type="textWrapping"/>
        <w:t xml:space="preserve">Verkooptechnieken</w:t>
        <w:br w:type="textWrapping"/>
        <w:t xml:space="preserve">Onderhandelingstechnieken</w:t>
        <w:br w:type="textWrapping"/>
        <w:t xml:space="preserve">Personeelsbeheer</w:t>
        <w:br w:type="textWrapping"/>
        <w:t xml:space="preserve">Personeelsadministratie</w:t>
        <w:br w:type="textWrapping"/>
        <w:t xml:space="preserve">Verftechnieken</w:t>
        <w:br w:type="textWrapping"/>
        <w:t xml:space="preserve">Metseltechnieken</w:t>
        <w:br w:type="textWrapping"/>
        <w:t xml:space="preserve">Elektriciteit</w:t>
        <w:br w:type="textWrapping"/>
        <w:t xml:space="preserve">Schrijnwerktechnieken voor hout</w:t>
        <w:br w:type="textWrapping"/>
        <w:t xml:space="preserve">Loodgieterij</w:t>
        <w:br w:type="textWrapping"/>
        <w:t xml:space="preserve">Smeedtechnieken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Coachen</w:t>
        <w:br w:type="textWrapping"/>
        <w:t xml:space="preserve">Communiceren</w:t>
        <w:br w:type="textWrapping"/>
        <w:t xml:space="preserve">Samenwerken</w:t>
        <w:br w:type="textWrapping"/>
        <w:t xml:space="preserve">Richting geven</w:t>
        <w:br w:type="textWrapping"/>
        <w:t xml:space="preserve">Plannen en organiseren</w:t>
        <w:br w:type="textWrapping"/>
        <w:t xml:space="preserve">Resultaatgerichtheid</w:t>
        <w:br w:type="textWrapping"/>
        <w:t xml:space="preserve">Diversiteit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