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Opvoeder-begeleider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Opvoeder-begeleider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werkt in een wooncentrum. Je begeleidt kinderen, volwassenen of personen met een beperking die hulp nodig hebben in hun dagelijkse leven. </w:t>
        <w:br w:type="textWrapping"/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Adviseren bij administratieve stappen</w:t>
        <w:br w:type="textWrapping"/>
        <w:t xml:space="preserve">Noodzorgsituaties vaststellen</w:t>
        <w:br w:type="textWrapping"/>
        <w:t xml:space="preserve">Zorgvragers begeleiden bij ontspanningsactiviteiten</w:t>
        <w:br w:type="textWrapping"/>
        <w:t xml:space="preserve">Sociale of familiale banden ondersteunen</w:t>
        <w:br w:type="textWrapping"/>
        <w:t xml:space="preserve">Veranderingen opmerken in de toestand van een zorgvrager</w:t>
        <w:br w:type="textWrapping"/>
        <w:t xml:space="preserve">Sociaal-emotionele steun bieden</w:t>
        <w:br w:type="textWrapping"/>
        <w:t xml:space="preserve">Hulp en bijstand bieden in noodsituaties</w:t>
        <w:br w:type="textWrapping"/>
        <w:t xml:space="preserve">(Para)medische informatie uitwisselen</w:t>
        <w:br w:type="textWrapping"/>
        <w:t xml:space="preserve">De werkzaamheden plannen</w:t>
        <w:br w:type="textWrapping"/>
        <w:t xml:space="preserve">Afspraken maken over hulp en begeleiding</w:t>
        <w:br w:type="textWrapping"/>
        <w:t xml:space="preserve">De zelfredzaamheid ondersteunen</w:t>
        <w:br w:type="textWrapping"/>
        <w:t xml:space="preserve">Een leefgroep begeleiden</w:t>
        <w:br w:type="textWrapping"/>
        <w:t xml:space="preserve">Optreden bij conflicten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Zorg verlenen aan kinderen</w:t>
        <w:br w:type="textWrapping"/>
        <w:t xml:space="preserve">Eet- en drinkmomenten begeleiden</w:t>
        <w:br w:type="textWrapping"/>
        <w:t xml:space="preserve">Sociale vaardigheden van kinderen ondersteunen </w:t>
        <w:br w:type="textWrapping"/>
        <w:t xml:space="preserve">Spelactiviteiten organiseren</w:t>
        <w:br w:type="textWrapping"/>
        <w:t xml:space="preserve">Doorverwijzen binnen de zorgverlening </w:t>
        <w:br w:type="textWrapping"/>
        <w:t xml:space="preserve">Persoonsverzorging uitvoeren   </w:t>
        <w:br w:type="textWrapping"/>
        <w:t xml:space="preserve">Personen met een beperking bijstaan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Communicatietechnieken</w:t>
        <w:br w:type="textWrapping"/>
        <w:t xml:space="preserve">Noodopvangcircuits</w:t>
        <w:br w:type="textWrapping"/>
        <w:t xml:space="preserve">Problematische opvoedingssituaties </w:t>
        <w:br w:type="textWrapping"/>
        <w:t xml:space="preserve">Luister- en omgangstechnieken</w:t>
        <w:br w:type="textWrapping"/>
        <w:t xml:space="preserve">Community management</w:t>
        <w:br w:type="textWrapping"/>
        <w:t xml:space="preserve">Observatietechnieken</w:t>
        <w:br w:type="textWrapping"/>
        <w:t xml:space="preserve">EHBO</w:t>
        <w:br w:type="textWrapping"/>
        <w:t xml:space="preserve">Sociale kaart</w:t>
        <w:br w:type="textWrapping"/>
        <w:t xml:space="preserve">Deontologie</w:t>
        <w:br w:type="textWrapping"/>
        <w:t xml:space="preserve">Planningstechnieken</w:t>
        <w:br w:type="textWrapping"/>
        <w:t xml:space="preserve">Kantoorsoftware</w:t>
        <w:br w:type="textWrapping"/>
        <w:t xml:space="preserve">Kinderpsychologie</w:t>
        <w:br w:type="textWrapping"/>
        <w:t xml:space="preserve">Psychiatrische aandoeningen</w:t>
        <w:br w:type="textWrapping"/>
        <w:t xml:space="preserve">Internationale classificatie van het menselijk functioneren (ICF)</w:t>
        <w:br w:type="textWrapping"/>
        <w:t xml:space="preserve">Doelgroepen en hun kenmerken</w:t>
        <w:br w:type="textWrapping"/>
        <w:t xml:space="preserve">Didactische technieken</w:t>
        <w:br w:type="textWrapping"/>
        <w:t xml:space="preserve">Ontwikkelingspsychologie</w:t>
        <w:br w:type="textWrapping"/>
        <w:t xml:space="preserve">Pedagogie</w:t>
        <w:br w:type="textWrapping"/>
        <w:t xml:space="preserve">Conflictvoorkoming en -beheersing</w:t>
        <w:br w:type="textWrapping"/>
        <w:t xml:space="preserve">Groepsdynamica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Persoonsverzorging</w:t>
        <w:br w:type="textWrapping"/>
        <w:t xml:space="preserve">Kinderziektes</w:t>
        <w:br w:type="textWrapping"/>
        <w:t xml:space="preserve">Ontwikkelingsfasen van het kind</w:t>
        <w:br w:type="textWrapping"/>
        <w:t xml:space="preserve">Braille</w:t>
        <w:br w:type="textWrapping"/>
        <w:t xml:space="preserve">Gebarentaal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Coachen</w:t>
        <w:br w:type="textWrapping"/>
        <w:t xml:space="preserve">Communiceren</w:t>
        <w:br w:type="textWrapping"/>
        <w:t xml:space="preserve">Samenwerken</w:t>
        <w:br w:type="textWrapping"/>
        <w:t xml:space="preserve">Flexibiliteit</w:t>
        <w:br w:type="textWrapping"/>
        <w:t xml:space="preserve">Plannen en organiseren</w:t>
        <w:br w:type="textWrapping"/>
        <w:t xml:space="preserve">Zelfontwikkeling</w:t>
        <w:br w:type="textWrapping"/>
        <w:t xml:space="preserve">Diversiteit</w:t>
        <w:br w:type="textWrapping"/>
        <w:t xml:space="preserve">Zelfstandigheid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